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41D" w:rsidRPr="00FD715E" w:rsidRDefault="0012141D" w:rsidP="0012141D">
      <w:pPr>
        <w:ind w:firstLine="0"/>
        <w:jc w:val="center"/>
        <w:rPr>
          <w:rFonts w:ascii="Times New Roman" w:hAnsi="Times New Roman" w:cs="Times New Roman"/>
          <w:b/>
          <w:color w:val="000000" w:themeColor="text1"/>
          <w:sz w:val="24"/>
          <w:szCs w:val="24"/>
        </w:rPr>
      </w:pPr>
    </w:p>
    <w:p w:rsidR="0012141D" w:rsidRPr="00FD715E" w:rsidRDefault="0012141D" w:rsidP="0012141D">
      <w:pPr>
        <w:ind w:firstLine="0"/>
        <w:jc w:val="center"/>
        <w:rPr>
          <w:rFonts w:ascii="Times New Roman" w:hAnsi="Times New Roman" w:cs="Times New Roman"/>
          <w:b/>
          <w:color w:val="000000" w:themeColor="text1"/>
          <w:sz w:val="24"/>
          <w:szCs w:val="24"/>
        </w:rPr>
      </w:pPr>
    </w:p>
    <w:p w:rsidR="0012141D" w:rsidRPr="00FD715E" w:rsidRDefault="0012141D" w:rsidP="0012141D">
      <w:pPr>
        <w:ind w:firstLine="0"/>
        <w:jc w:val="center"/>
        <w:rPr>
          <w:rFonts w:ascii="Times New Roman" w:hAnsi="Times New Roman" w:cs="Times New Roman"/>
          <w:b/>
          <w:color w:val="000000" w:themeColor="text1"/>
          <w:sz w:val="24"/>
          <w:szCs w:val="24"/>
        </w:rPr>
      </w:pPr>
    </w:p>
    <w:p w:rsidR="0012141D" w:rsidRPr="00FD715E" w:rsidRDefault="0012141D" w:rsidP="0012141D">
      <w:pPr>
        <w:ind w:firstLine="0"/>
        <w:jc w:val="center"/>
        <w:rPr>
          <w:rFonts w:ascii="Times New Roman" w:hAnsi="Times New Roman" w:cs="Times New Roman"/>
          <w:b/>
          <w:color w:val="000000" w:themeColor="text1"/>
          <w:sz w:val="24"/>
          <w:szCs w:val="24"/>
        </w:rPr>
      </w:pPr>
    </w:p>
    <w:p w:rsidR="0012141D" w:rsidRPr="00FD715E" w:rsidRDefault="0012141D" w:rsidP="0012141D">
      <w:pPr>
        <w:ind w:firstLine="0"/>
        <w:jc w:val="center"/>
        <w:rPr>
          <w:rFonts w:ascii="Times New Roman" w:hAnsi="Times New Roman" w:cs="Times New Roman"/>
          <w:b/>
          <w:color w:val="000000" w:themeColor="text1"/>
          <w:sz w:val="24"/>
          <w:szCs w:val="24"/>
        </w:rPr>
      </w:pPr>
    </w:p>
    <w:p w:rsidR="0012141D" w:rsidRPr="00FD715E" w:rsidRDefault="0012141D" w:rsidP="0012141D">
      <w:pPr>
        <w:ind w:firstLine="0"/>
        <w:jc w:val="center"/>
        <w:rPr>
          <w:rFonts w:ascii="Times New Roman" w:hAnsi="Times New Roman" w:cs="Times New Roman"/>
          <w:b/>
          <w:color w:val="000000" w:themeColor="text1"/>
          <w:sz w:val="24"/>
          <w:szCs w:val="24"/>
        </w:rPr>
      </w:pPr>
    </w:p>
    <w:p w:rsidR="0012141D" w:rsidRPr="00FD715E" w:rsidRDefault="0012141D" w:rsidP="005333BD">
      <w:pPr>
        <w:ind w:firstLine="0"/>
        <w:jc w:val="center"/>
        <w:rPr>
          <w:rFonts w:ascii="Times New Roman" w:hAnsi="Times New Roman" w:cs="Times New Roman"/>
          <w:b/>
          <w:color w:val="000000" w:themeColor="text1"/>
          <w:sz w:val="24"/>
          <w:szCs w:val="24"/>
        </w:rPr>
      </w:pPr>
      <w:r w:rsidRPr="00FD715E">
        <w:rPr>
          <w:rFonts w:ascii="Times New Roman" w:hAnsi="Times New Roman" w:cs="Times New Roman"/>
          <w:b/>
          <w:color w:val="000000" w:themeColor="text1"/>
          <w:sz w:val="24"/>
          <w:szCs w:val="24"/>
        </w:rPr>
        <w:t>Hospital Acquired Infections (HAIs)</w:t>
      </w:r>
    </w:p>
    <w:p w:rsidR="0012141D" w:rsidRPr="00FD715E" w:rsidRDefault="0012141D" w:rsidP="0012141D">
      <w:pPr>
        <w:ind w:firstLine="0"/>
        <w:jc w:val="center"/>
        <w:rPr>
          <w:rFonts w:ascii="Times New Roman" w:hAnsi="Times New Roman" w:cs="Times New Roman"/>
          <w:color w:val="000000" w:themeColor="text1"/>
          <w:sz w:val="24"/>
          <w:szCs w:val="24"/>
        </w:rPr>
      </w:pPr>
      <w:r w:rsidRPr="00FD715E">
        <w:rPr>
          <w:rFonts w:ascii="Times New Roman" w:hAnsi="Times New Roman" w:cs="Times New Roman"/>
          <w:color w:val="000000" w:themeColor="text1"/>
          <w:sz w:val="24"/>
          <w:szCs w:val="24"/>
        </w:rPr>
        <w:t>Name</w:t>
      </w:r>
    </w:p>
    <w:p w:rsidR="0012141D" w:rsidRPr="00FD715E" w:rsidRDefault="0012141D" w:rsidP="0012141D">
      <w:pPr>
        <w:ind w:firstLine="0"/>
        <w:jc w:val="center"/>
        <w:rPr>
          <w:rFonts w:ascii="Times New Roman" w:hAnsi="Times New Roman" w:cs="Times New Roman"/>
          <w:color w:val="000000" w:themeColor="text1"/>
          <w:sz w:val="24"/>
          <w:szCs w:val="24"/>
        </w:rPr>
      </w:pPr>
      <w:r w:rsidRPr="00FD715E">
        <w:rPr>
          <w:rFonts w:ascii="Times New Roman" w:hAnsi="Times New Roman" w:cs="Times New Roman"/>
          <w:color w:val="000000" w:themeColor="text1"/>
          <w:sz w:val="24"/>
          <w:szCs w:val="24"/>
        </w:rPr>
        <w:t>Institution</w:t>
      </w:r>
    </w:p>
    <w:p w:rsidR="0012141D" w:rsidRPr="00FD715E" w:rsidRDefault="0012141D" w:rsidP="0012141D">
      <w:pPr>
        <w:ind w:firstLine="0"/>
        <w:jc w:val="center"/>
        <w:rPr>
          <w:rFonts w:ascii="Times New Roman" w:hAnsi="Times New Roman" w:cs="Times New Roman"/>
          <w:color w:val="000000" w:themeColor="text1"/>
          <w:sz w:val="24"/>
          <w:szCs w:val="24"/>
        </w:rPr>
      </w:pPr>
      <w:r w:rsidRPr="00FD715E">
        <w:rPr>
          <w:rFonts w:ascii="Times New Roman" w:hAnsi="Times New Roman" w:cs="Times New Roman"/>
          <w:color w:val="000000" w:themeColor="text1"/>
          <w:sz w:val="24"/>
          <w:szCs w:val="24"/>
        </w:rPr>
        <w:t>Date</w:t>
      </w:r>
    </w:p>
    <w:p w:rsidR="0012141D" w:rsidRPr="00FD715E" w:rsidRDefault="0012141D" w:rsidP="0012141D">
      <w:pPr>
        <w:ind w:firstLine="0"/>
        <w:rPr>
          <w:rFonts w:ascii="Times New Roman" w:hAnsi="Times New Roman" w:cs="Times New Roman"/>
          <w:color w:val="000000" w:themeColor="text1"/>
          <w:sz w:val="24"/>
          <w:szCs w:val="24"/>
        </w:rPr>
      </w:pPr>
    </w:p>
    <w:p w:rsidR="0012141D" w:rsidRPr="00FD715E" w:rsidRDefault="0012141D" w:rsidP="0012141D">
      <w:pPr>
        <w:ind w:firstLine="0"/>
        <w:rPr>
          <w:rFonts w:ascii="Times New Roman" w:hAnsi="Times New Roman" w:cs="Times New Roman"/>
          <w:color w:val="000000" w:themeColor="text1"/>
          <w:sz w:val="24"/>
          <w:szCs w:val="24"/>
        </w:rPr>
      </w:pPr>
    </w:p>
    <w:p w:rsidR="0012141D" w:rsidRPr="00FD715E" w:rsidRDefault="0012141D" w:rsidP="004D744A">
      <w:pPr>
        <w:rPr>
          <w:rFonts w:ascii="Times New Roman" w:hAnsi="Times New Roman" w:cs="Times New Roman"/>
          <w:color w:val="000000" w:themeColor="text1"/>
          <w:sz w:val="24"/>
          <w:szCs w:val="24"/>
        </w:rPr>
      </w:pPr>
    </w:p>
    <w:p w:rsidR="0012141D" w:rsidRPr="00FD715E" w:rsidRDefault="0012141D" w:rsidP="004D744A">
      <w:pPr>
        <w:rPr>
          <w:rFonts w:ascii="Times New Roman" w:hAnsi="Times New Roman" w:cs="Times New Roman"/>
          <w:color w:val="000000" w:themeColor="text1"/>
          <w:sz w:val="24"/>
          <w:szCs w:val="24"/>
        </w:rPr>
      </w:pPr>
    </w:p>
    <w:p w:rsidR="0012141D" w:rsidRPr="00FD715E" w:rsidRDefault="0012141D" w:rsidP="004D744A">
      <w:pPr>
        <w:rPr>
          <w:rFonts w:ascii="Times New Roman" w:hAnsi="Times New Roman" w:cs="Times New Roman"/>
          <w:color w:val="000000" w:themeColor="text1"/>
          <w:sz w:val="24"/>
          <w:szCs w:val="24"/>
        </w:rPr>
      </w:pPr>
    </w:p>
    <w:p w:rsidR="0012141D" w:rsidRPr="00FD715E" w:rsidRDefault="0012141D" w:rsidP="004D744A">
      <w:pPr>
        <w:rPr>
          <w:rFonts w:ascii="Times New Roman" w:hAnsi="Times New Roman" w:cs="Times New Roman"/>
          <w:color w:val="000000" w:themeColor="text1"/>
          <w:sz w:val="24"/>
          <w:szCs w:val="24"/>
        </w:rPr>
      </w:pPr>
    </w:p>
    <w:p w:rsidR="0012141D" w:rsidRPr="00FD715E" w:rsidRDefault="0012141D" w:rsidP="004D744A">
      <w:pPr>
        <w:rPr>
          <w:rFonts w:ascii="Times New Roman" w:hAnsi="Times New Roman" w:cs="Times New Roman"/>
          <w:color w:val="000000" w:themeColor="text1"/>
          <w:sz w:val="24"/>
          <w:szCs w:val="24"/>
        </w:rPr>
      </w:pPr>
    </w:p>
    <w:p w:rsidR="0012141D" w:rsidRPr="00FD715E" w:rsidRDefault="0012141D" w:rsidP="004D744A">
      <w:pPr>
        <w:rPr>
          <w:rFonts w:ascii="Times New Roman" w:hAnsi="Times New Roman" w:cs="Times New Roman"/>
          <w:color w:val="000000" w:themeColor="text1"/>
          <w:sz w:val="24"/>
          <w:szCs w:val="24"/>
        </w:rPr>
      </w:pPr>
    </w:p>
    <w:p w:rsidR="004D744A" w:rsidRPr="00FD715E" w:rsidRDefault="004D744A" w:rsidP="005333BD">
      <w:pPr>
        <w:ind w:firstLine="0"/>
        <w:jc w:val="center"/>
        <w:rPr>
          <w:rFonts w:ascii="Times New Roman" w:hAnsi="Times New Roman" w:cs="Times New Roman"/>
          <w:b/>
          <w:color w:val="000000" w:themeColor="text1"/>
          <w:sz w:val="24"/>
          <w:szCs w:val="24"/>
        </w:rPr>
      </w:pPr>
      <w:r w:rsidRPr="00FD715E">
        <w:rPr>
          <w:rFonts w:ascii="Times New Roman" w:hAnsi="Times New Roman" w:cs="Times New Roman"/>
          <w:b/>
          <w:color w:val="000000" w:themeColor="text1"/>
          <w:sz w:val="24"/>
          <w:szCs w:val="24"/>
        </w:rPr>
        <w:lastRenderedPageBreak/>
        <w:t>Hospital Acquired Infections (HAIs)</w:t>
      </w:r>
    </w:p>
    <w:p w:rsidR="0087747A" w:rsidRPr="00FD715E" w:rsidRDefault="0087747A" w:rsidP="0087747A">
      <w:pPr>
        <w:rPr>
          <w:rFonts w:ascii="Times New Roman" w:hAnsi="Times New Roman" w:cs="Times New Roman"/>
          <w:color w:val="000000" w:themeColor="text1"/>
          <w:sz w:val="24"/>
          <w:szCs w:val="24"/>
        </w:rPr>
      </w:pPr>
      <w:r w:rsidRPr="00FD715E">
        <w:rPr>
          <w:rFonts w:ascii="Times New Roman" w:hAnsi="Times New Roman" w:cs="Times New Roman"/>
          <w:color w:val="000000" w:themeColor="text1"/>
          <w:sz w:val="24"/>
          <w:szCs w:val="24"/>
        </w:rPr>
        <w:t>Hospital-acquired infections (HAIs) are among the leading health issues that challenge patient safety in contemporary healthcare settings. In most cases, HAIs occur when patients are receiving treatments for medical or surgical conditions. These infections occur in all care settings, such as surgical centers</w:t>
      </w:r>
      <w:r w:rsidR="00FD715E" w:rsidRPr="00FD715E">
        <w:rPr>
          <w:rFonts w:ascii="Times New Roman" w:hAnsi="Times New Roman" w:cs="Times New Roman"/>
          <w:color w:val="000000" w:themeColor="text1"/>
          <w:sz w:val="24"/>
          <w:szCs w:val="24"/>
        </w:rPr>
        <w:t xml:space="preserve"> and</w:t>
      </w:r>
      <w:r w:rsidRPr="00FD715E">
        <w:rPr>
          <w:rFonts w:ascii="Times New Roman" w:hAnsi="Times New Roman" w:cs="Times New Roman"/>
          <w:color w:val="000000" w:themeColor="text1"/>
          <w:sz w:val="24"/>
          <w:szCs w:val="24"/>
        </w:rPr>
        <w:t xml:space="preserve"> long-term care facilities. According to Cole and Barnard (2020), all hospitalized patients stand a bigger chance of getting HAIs. However, some patients are highly susceptible to</w:t>
      </w:r>
      <w:r w:rsidR="00FD715E" w:rsidRPr="00FD715E">
        <w:rPr>
          <w:rFonts w:ascii="Times New Roman" w:hAnsi="Times New Roman" w:cs="Times New Roman"/>
          <w:color w:val="000000" w:themeColor="text1"/>
          <w:sz w:val="24"/>
          <w:szCs w:val="24"/>
        </w:rPr>
        <w:t xml:space="preserve"> than</w:t>
      </w:r>
      <w:r w:rsidRPr="00FD715E">
        <w:rPr>
          <w:rFonts w:ascii="Times New Roman" w:hAnsi="Times New Roman" w:cs="Times New Roman"/>
          <w:color w:val="000000" w:themeColor="text1"/>
          <w:sz w:val="24"/>
          <w:szCs w:val="24"/>
        </w:rPr>
        <w:t xml:space="preserve"> others, including the elderly, other young children, and persons who have compromised immune systems. </w:t>
      </w:r>
    </w:p>
    <w:p w:rsidR="0087747A" w:rsidRPr="00FD715E" w:rsidRDefault="0087747A" w:rsidP="0087747A">
      <w:pPr>
        <w:rPr>
          <w:rFonts w:ascii="Times New Roman" w:hAnsi="Times New Roman" w:cs="Times New Roman"/>
          <w:color w:val="000000" w:themeColor="text1"/>
          <w:sz w:val="24"/>
          <w:szCs w:val="24"/>
        </w:rPr>
      </w:pPr>
      <w:r w:rsidRPr="00FD715E">
        <w:rPr>
          <w:rFonts w:ascii="Times New Roman" w:hAnsi="Times New Roman" w:cs="Times New Roman"/>
          <w:color w:val="000000" w:themeColor="text1"/>
          <w:sz w:val="24"/>
          <w:szCs w:val="24"/>
        </w:rPr>
        <w:t xml:space="preserve">Thousands of people lose their lives every day due to infections acquired during care in hospital settings. Many factors serve as breeding zones for nosocomial infections in healthcare settings. Extended hospital stays </w:t>
      </w:r>
      <w:r w:rsidR="00FD715E" w:rsidRPr="00FD715E">
        <w:rPr>
          <w:rFonts w:ascii="Times New Roman" w:hAnsi="Times New Roman" w:cs="Times New Roman"/>
          <w:color w:val="000000" w:themeColor="text1"/>
          <w:sz w:val="24"/>
          <w:szCs w:val="24"/>
        </w:rPr>
        <w:t>make</w:t>
      </w:r>
      <w:r w:rsidRPr="00FD715E">
        <w:rPr>
          <w:rFonts w:ascii="Times New Roman" w:hAnsi="Times New Roman" w:cs="Times New Roman"/>
          <w:color w:val="000000" w:themeColor="text1"/>
          <w:sz w:val="24"/>
          <w:szCs w:val="24"/>
        </w:rPr>
        <w:t xml:space="preserve"> one of the leading</w:t>
      </w:r>
      <w:r w:rsidR="00FD715E" w:rsidRPr="00FD715E">
        <w:rPr>
          <w:rFonts w:ascii="Times New Roman" w:hAnsi="Times New Roman" w:cs="Times New Roman"/>
          <w:color w:val="000000" w:themeColor="text1"/>
          <w:sz w:val="24"/>
          <w:szCs w:val="24"/>
        </w:rPr>
        <w:t xml:space="preserve"> risks of HAIs among patients. </w:t>
      </w:r>
      <w:r w:rsidRPr="00FD715E">
        <w:rPr>
          <w:rFonts w:ascii="Times New Roman" w:hAnsi="Times New Roman" w:cs="Times New Roman"/>
          <w:color w:val="000000" w:themeColor="text1"/>
          <w:sz w:val="24"/>
          <w:szCs w:val="24"/>
        </w:rPr>
        <w:t>Studies have defended that most HAIs occur during hospitalization, with an average length of stay being 11 days (Cole &amp; Barnard, 2020). The use of indwelling catheters is another significant cause of HAIs issues. As evident, indwelling catheters stay in a patient’s body for long hours</w:t>
      </w:r>
      <w:r w:rsidR="00FD715E" w:rsidRPr="00FD715E">
        <w:rPr>
          <w:rFonts w:ascii="Times New Roman" w:hAnsi="Times New Roman" w:cs="Times New Roman"/>
          <w:color w:val="000000" w:themeColor="text1"/>
          <w:sz w:val="24"/>
          <w:szCs w:val="24"/>
        </w:rPr>
        <w:t>, and hence increasing chances of developing infections</w:t>
      </w:r>
      <w:r w:rsidRPr="00FD715E">
        <w:rPr>
          <w:rFonts w:ascii="Times New Roman" w:hAnsi="Times New Roman" w:cs="Times New Roman"/>
          <w:color w:val="000000" w:themeColor="text1"/>
          <w:sz w:val="24"/>
          <w:szCs w:val="24"/>
        </w:rPr>
        <w:t>. However, catheters are used when the patient has increased urinary incontinence and urinary retention due to the urinary tract's sensitivity, low maintenance of hygiene subjects the patient to additional health problems. Ultimately, healthcare workers' failure to wash their hands subjects the patient to more significant risks of HAIs.  Notably, hands are the most adjacent pathways of germ transmissions during health care.</w:t>
      </w:r>
    </w:p>
    <w:p w:rsidR="0087747A" w:rsidRPr="00FD715E" w:rsidRDefault="0087747A" w:rsidP="0087747A">
      <w:pPr>
        <w:rPr>
          <w:rFonts w:ascii="Times New Roman" w:hAnsi="Times New Roman" w:cs="Times New Roman"/>
          <w:color w:val="000000" w:themeColor="text1"/>
          <w:sz w:val="24"/>
          <w:szCs w:val="24"/>
        </w:rPr>
      </w:pPr>
      <w:r w:rsidRPr="00FD715E">
        <w:rPr>
          <w:rFonts w:ascii="Times New Roman" w:hAnsi="Times New Roman" w:cs="Times New Roman"/>
          <w:color w:val="000000" w:themeColor="text1"/>
          <w:sz w:val="24"/>
          <w:szCs w:val="24"/>
        </w:rPr>
        <w:t xml:space="preserve">It is the ideal responsibility of patients in conjunction with healthcare </w:t>
      </w:r>
      <w:r w:rsidR="00FD715E" w:rsidRPr="00FD715E">
        <w:rPr>
          <w:rFonts w:ascii="Times New Roman" w:hAnsi="Times New Roman" w:cs="Times New Roman"/>
          <w:color w:val="000000" w:themeColor="text1"/>
          <w:sz w:val="24"/>
          <w:szCs w:val="24"/>
        </w:rPr>
        <w:t>providers</w:t>
      </w:r>
      <w:r w:rsidRPr="00FD715E">
        <w:rPr>
          <w:rFonts w:ascii="Times New Roman" w:hAnsi="Times New Roman" w:cs="Times New Roman"/>
          <w:color w:val="000000" w:themeColor="text1"/>
          <w:sz w:val="24"/>
          <w:szCs w:val="24"/>
        </w:rPr>
        <w:t xml:space="preserve"> to improve healthcare outcomes. Evidence-based clinical researches have sh</w:t>
      </w:r>
      <w:r w:rsidR="00FD715E" w:rsidRPr="00FD715E">
        <w:rPr>
          <w:rFonts w:ascii="Times New Roman" w:hAnsi="Times New Roman" w:cs="Times New Roman"/>
          <w:color w:val="000000" w:themeColor="text1"/>
          <w:sz w:val="24"/>
          <w:szCs w:val="24"/>
        </w:rPr>
        <w:t xml:space="preserve">own that about 90% of HAIs cases are highly preventable. </w:t>
      </w:r>
      <w:r w:rsidRPr="00FD715E">
        <w:rPr>
          <w:rFonts w:ascii="Times New Roman" w:hAnsi="Times New Roman" w:cs="Times New Roman"/>
          <w:color w:val="000000" w:themeColor="text1"/>
          <w:sz w:val="24"/>
          <w:szCs w:val="24"/>
        </w:rPr>
        <w:t xml:space="preserve">Herein, it is recommendable for healthcare providers to maintain a high degree of hand hygiene by regularly cleaning their hands with soap and clean </w:t>
      </w:r>
      <w:r w:rsidRPr="00FD715E">
        <w:rPr>
          <w:rFonts w:ascii="Times New Roman" w:hAnsi="Times New Roman" w:cs="Times New Roman"/>
          <w:color w:val="000000" w:themeColor="text1"/>
          <w:sz w:val="24"/>
          <w:szCs w:val="24"/>
        </w:rPr>
        <w:lastRenderedPageBreak/>
        <w:t xml:space="preserve">water or using alcohol-based hand rub before and after attending to a patient (Siracusa, Scuri, Grappasonni &amp; Petrelli, (2019). Also, catheters should be used as a last </w:t>
      </w:r>
      <w:r w:rsidR="00FD715E" w:rsidRPr="00FD715E">
        <w:rPr>
          <w:rFonts w:ascii="Times New Roman" w:hAnsi="Times New Roman" w:cs="Times New Roman"/>
          <w:color w:val="000000" w:themeColor="text1"/>
          <w:sz w:val="24"/>
          <w:szCs w:val="24"/>
        </w:rPr>
        <w:t>option</w:t>
      </w:r>
      <w:r w:rsidRPr="00FD715E">
        <w:rPr>
          <w:rFonts w:ascii="Times New Roman" w:hAnsi="Times New Roman" w:cs="Times New Roman"/>
          <w:color w:val="000000" w:themeColor="text1"/>
          <w:sz w:val="24"/>
          <w:szCs w:val="24"/>
        </w:rPr>
        <w:t xml:space="preserve"> and should be removed or exchanges soonest possible. Healthcare providers must ensure good skin hygiene on the surgical site. Lastly, providers must make good use of Personal Protective Equipment (PPEs) and keep their hairs contained to minimize pathways of germ transmissions. </w:t>
      </w: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87747A">
      <w:pPr>
        <w:ind w:firstLine="0"/>
        <w:jc w:val="center"/>
        <w:rPr>
          <w:rFonts w:ascii="Times New Roman" w:hAnsi="Times New Roman" w:cs="Times New Roman"/>
          <w:color w:val="000000" w:themeColor="text1"/>
          <w:sz w:val="24"/>
          <w:szCs w:val="24"/>
        </w:rPr>
      </w:pPr>
    </w:p>
    <w:p w:rsidR="00FD715E" w:rsidRDefault="00FD715E" w:rsidP="00FD715E">
      <w:pPr>
        <w:ind w:firstLine="0"/>
        <w:rPr>
          <w:rFonts w:ascii="Times New Roman" w:hAnsi="Times New Roman" w:cs="Times New Roman"/>
          <w:color w:val="000000" w:themeColor="text1"/>
          <w:sz w:val="24"/>
          <w:szCs w:val="24"/>
        </w:rPr>
      </w:pPr>
    </w:p>
    <w:p w:rsidR="00FD715E" w:rsidRDefault="00FD715E" w:rsidP="00FD715E">
      <w:pPr>
        <w:ind w:firstLine="0"/>
        <w:rPr>
          <w:rFonts w:ascii="Times New Roman" w:hAnsi="Times New Roman" w:cs="Times New Roman"/>
          <w:color w:val="000000" w:themeColor="text1"/>
          <w:sz w:val="24"/>
          <w:szCs w:val="24"/>
        </w:rPr>
      </w:pPr>
    </w:p>
    <w:p w:rsidR="005333BD" w:rsidRDefault="005333BD" w:rsidP="0087747A">
      <w:pPr>
        <w:ind w:firstLine="0"/>
        <w:jc w:val="center"/>
        <w:rPr>
          <w:rFonts w:ascii="Times New Roman" w:hAnsi="Times New Roman" w:cs="Times New Roman"/>
          <w:color w:val="000000" w:themeColor="text1"/>
          <w:sz w:val="24"/>
          <w:szCs w:val="24"/>
        </w:rPr>
      </w:pPr>
    </w:p>
    <w:p w:rsidR="002B778D" w:rsidRPr="00FD715E" w:rsidRDefault="002B778D" w:rsidP="0087747A">
      <w:pPr>
        <w:ind w:firstLine="0"/>
        <w:jc w:val="center"/>
        <w:rPr>
          <w:rFonts w:ascii="Times New Roman" w:eastAsia="Times New Roman" w:hAnsi="Times New Roman" w:cs="Times New Roman"/>
          <w:b/>
          <w:bCs/>
          <w:color w:val="000000" w:themeColor="text1"/>
          <w:kern w:val="36"/>
          <w:sz w:val="24"/>
          <w:szCs w:val="24"/>
        </w:rPr>
      </w:pPr>
      <w:bookmarkStart w:id="0" w:name="_GoBack"/>
      <w:bookmarkEnd w:id="0"/>
      <w:r w:rsidRPr="00FD715E">
        <w:rPr>
          <w:rFonts w:ascii="Times New Roman" w:hAnsi="Times New Roman" w:cs="Times New Roman"/>
          <w:color w:val="000000" w:themeColor="text1"/>
          <w:sz w:val="24"/>
          <w:szCs w:val="24"/>
        </w:rPr>
        <w:lastRenderedPageBreak/>
        <w:t>References</w:t>
      </w:r>
    </w:p>
    <w:p w:rsidR="002B778D" w:rsidRPr="00FD715E" w:rsidRDefault="002B778D" w:rsidP="0087747A">
      <w:pPr>
        <w:ind w:left="720" w:hanging="720"/>
        <w:rPr>
          <w:rFonts w:ascii="Times New Roman" w:hAnsi="Times New Roman" w:cs="Times New Roman"/>
          <w:color w:val="000000" w:themeColor="text1"/>
          <w:sz w:val="24"/>
          <w:szCs w:val="24"/>
        </w:rPr>
      </w:pPr>
      <w:r w:rsidRPr="00FD715E">
        <w:rPr>
          <w:rFonts w:ascii="Times New Roman" w:hAnsi="Times New Roman" w:cs="Times New Roman"/>
          <w:color w:val="000000" w:themeColor="text1"/>
          <w:sz w:val="24"/>
          <w:szCs w:val="24"/>
          <w:shd w:val="clear" w:color="auto" w:fill="FFFFFF"/>
        </w:rPr>
        <w:t>Cole, J., &amp; Barnard, E. (2020). The Impact of the COVID-19 Pandemic on Healthcare Acquired Infections with Multidrug Resistant Organisms. </w:t>
      </w:r>
      <w:r w:rsidRPr="00FD715E">
        <w:rPr>
          <w:rFonts w:ascii="Times New Roman" w:hAnsi="Times New Roman" w:cs="Times New Roman"/>
          <w:i/>
          <w:iCs/>
          <w:color w:val="000000" w:themeColor="text1"/>
          <w:sz w:val="24"/>
          <w:szCs w:val="24"/>
          <w:shd w:val="clear" w:color="auto" w:fill="FFFFFF"/>
        </w:rPr>
        <w:t>American Journal of Infection Control</w:t>
      </w:r>
      <w:r w:rsidRPr="00FD715E">
        <w:rPr>
          <w:rFonts w:ascii="Times New Roman" w:hAnsi="Times New Roman" w:cs="Times New Roman"/>
          <w:color w:val="000000" w:themeColor="text1"/>
          <w:sz w:val="24"/>
          <w:szCs w:val="24"/>
          <w:shd w:val="clear" w:color="auto" w:fill="FFFFFF"/>
        </w:rPr>
        <w:t>, 5726.</w:t>
      </w:r>
    </w:p>
    <w:p w:rsidR="002B778D" w:rsidRPr="00FD715E" w:rsidRDefault="002B778D" w:rsidP="0087747A">
      <w:pPr>
        <w:ind w:left="720" w:hanging="720"/>
        <w:rPr>
          <w:rFonts w:ascii="Times New Roman" w:hAnsi="Times New Roman" w:cs="Times New Roman"/>
          <w:color w:val="000000" w:themeColor="text1"/>
          <w:sz w:val="24"/>
          <w:szCs w:val="24"/>
          <w:shd w:val="clear" w:color="auto" w:fill="FFFFFF"/>
        </w:rPr>
      </w:pPr>
      <w:r w:rsidRPr="00FD715E">
        <w:rPr>
          <w:rFonts w:ascii="Times New Roman" w:hAnsi="Times New Roman" w:cs="Times New Roman"/>
          <w:color w:val="000000" w:themeColor="text1"/>
          <w:sz w:val="24"/>
          <w:szCs w:val="24"/>
          <w:shd w:val="clear" w:color="auto" w:fill="FFFFFF"/>
        </w:rPr>
        <w:t>Siracusa, M., Scuri, S., Grappasonni, I., &amp; Petrelli, F. (2019). Healthcare acquired infections: Malpractice and litigation issues. </w:t>
      </w:r>
      <w:r w:rsidRPr="00FD715E">
        <w:rPr>
          <w:rFonts w:ascii="Times New Roman" w:hAnsi="Times New Roman" w:cs="Times New Roman"/>
          <w:i/>
          <w:iCs/>
          <w:color w:val="000000" w:themeColor="text1"/>
          <w:sz w:val="24"/>
          <w:szCs w:val="24"/>
          <w:shd w:val="clear" w:color="auto" w:fill="FFFFFF"/>
        </w:rPr>
        <w:t>Annali di Igiene</w:t>
      </w:r>
      <w:r w:rsidRPr="00FD715E">
        <w:rPr>
          <w:rFonts w:ascii="Times New Roman" w:hAnsi="Times New Roman" w:cs="Times New Roman"/>
          <w:color w:val="000000" w:themeColor="text1"/>
          <w:sz w:val="24"/>
          <w:szCs w:val="24"/>
          <w:shd w:val="clear" w:color="auto" w:fill="FFFFFF"/>
        </w:rPr>
        <w:t>, </w:t>
      </w:r>
      <w:r w:rsidRPr="00FD715E">
        <w:rPr>
          <w:rFonts w:ascii="Times New Roman" w:hAnsi="Times New Roman" w:cs="Times New Roman"/>
          <w:i/>
          <w:iCs/>
          <w:color w:val="000000" w:themeColor="text1"/>
          <w:sz w:val="24"/>
          <w:szCs w:val="24"/>
          <w:shd w:val="clear" w:color="auto" w:fill="FFFFFF"/>
        </w:rPr>
        <w:t>31</w:t>
      </w:r>
      <w:r w:rsidRPr="00FD715E">
        <w:rPr>
          <w:rFonts w:ascii="Times New Roman" w:hAnsi="Times New Roman" w:cs="Times New Roman"/>
          <w:color w:val="000000" w:themeColor="text1"/>
          <w:sz w:val="24"/>
          <w:szCs w:val="24"/>
          <w:shd w:val="clear" w:color="auto" w:fill="FFFFFF"/>
        </w:rPr>
        <w:t>, 496-506.</w:t>
      </w:r>
    </w:p>
    <w:p w:rsidR="002B778D" w:rsidRPr="00FD715E" w:rsidRDefault="002B778D" w:rsidP="002B778D">
      <w:pPr>
        <w:ind w:firstLine="0"/>
        <w:rPr>
          <w:rFonts w:ascii="Times New Roman" w:hAnsi="Times New Roman" w:cs="Times New Roman"/>
          <w:color w:val="000000" w:themeColor="text1"/>
          <w:sz w:val="24"/>
          <w:szCs w:val="24"/>
          <w:shd w:val="clear" w:color="auto" w:fill="FFFFFF"/>
        </w:rPr>
      </w:pPr>
    </w:p>
    <w:sectPr w:rsidR="002B778D" w:rsidRPr="00FD715E" w:rsidSect="0012141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439" w:rsidRDefault="009F7439" w:rsidP="0012141D">
      <w:pPr>
        <w:spacing w:after="0" w:line="240" w:lineRule="auto"/>
      </w:pPr>
      <w:r>
        <w:separator/>
      </w:r>
    </w:p>
  </w:endnote>
  <w:endnote w:type="continuationSeparator" w:id="0">
    <w:p w:rsidR="009F7439" w:rsidRDefault="009F7439" w:rsidP="0012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439" w:rsidRDefault="009F7439" w:rsidP="0012141D">
      <w:pPr>
        <w:spacing w:after="0" w:line="240" w:lineRule="auto"/>
      </w:pPr>
      <w:r>
        <w:separator/>
      </w:r>
    </w:p>
  </w:footnote>
  <w:footnote w:type="continuationSeparator" w:id="0">
    <w:p w:rsidR="009F7439" w:rsidRDefault="009F7439" w:rsidP="00121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41D" w:rsidRPr="005333BD" w:rsidRDefault="0012141D">
    <w:pPr>
      <w:pStyle w:val="Header"/>
      <w:rPr>
        <w:rFonts w:ascii="Times New Roman" w:hAnsi="Times New Roman" w:cs="Times New Roman"/>
        <w:sz w:val="24"/>
        <w:szCs w:val="24"/>
      </w:rPr>
    </w:pPr>
    <w:r>
      <w:tab/>
    </w:r>
    <w:r>
      <w:tab/>
    </w:r>
    <w:r w:rsidRPr="005333BD">
      <w:rPr>
        <w:rFonts w:ascii="Times New Roman" w:hAnsi="Times New Roman" w:cs="Times New Roman"/>
        <w:sz w:val="24"/>
        <w:szCs w:val="24"/>
      </w:rPr>
      <w:fldChar w:fldCharType="begin"/>
    </w:r>
    <w:r w:rsidRPr="005333BD">
      <w:rPr>
        <w:rFonts w:ascii="Times New Roman" w:hAnsi="Times New Roman" w:cs="Times New Roman"/>
        <w:sz w:val="24"/>
        <w:szCs w:val="24"/>
      </w:rPr>
      <w:instrText xml:space="preserve"> PAGE   \* MERGEFORMAT </w:instrText>
    </w:r>
    <w:r w:rsidRPr="005333BD">
      <w:rPr>
        <w:rFonts w:ascii="Times New Roman" w:hAnsi="Times New Roman" w:cs="Times New Roman"/>
        <w:sz w:val="24"/>
        <w:szCs w:val="24"/>
      </w:rPr>
      <w:fldChar w:fldCharType="separate"/>
    </w:r>
    <w:r w:rsidR="005333BD">
      <w:rPr>
        <w:rFonts w:ascii="Times New Roman" w:hAnsi="Times New Roman" w:cs="Times New Roman"/>
        <w:noProof/>
        <w:sz w:val="24"/>
        <w:szCs w:val="24"/>
      </w:rPr>
      <w:t>4</w:t>
    </w:r>
    <w:r w:rsidRPr="005333BD">
      <w:rPr>
        <w:rFonts w:ascii="Times New Roman" w:hAnsi="Times New Roman" w:cs="Times New Roman"/>
        <w:noProof/>
        <w:sz w:val="24"/>
        <w:szCs w:val="24"/>
      </w:rPr>
      <w:fldChar w:fldCharType="end"/>
    </w:r>
  </w:p>
  <w:p w:rsidR="0012141D" w:rsidRDefault="001214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41D" w:rsidRPr="005333BD" w:rsidRDefault="0012141D" w:rsidP="005333BD">
    <w:pPr>
      <w:pStyle w:val="Header"/>
      <w:tabs>
        <w:tab w:val="left" w:pos="7020"/>
      </w:tabs>
      <w:rPr>
        <w:rFonts w:ascii="Times New Roman" w:hAnsi="Times New Roman" w:cs="Times New Roman"/>
      </w:rPr>
    </w:pPr>
    <w:r w:rsidRPr="005333BD">
      <w:tab/>
    </w:r>
    <w:r w:rsidRPr="005333BD">
      <w:tab/>
    </w:r>
    <w:r w:rsidR="005333BD" w:rsidRPr="005333BD">
      <w:tab/>
    </w:r>
    <w:r w:rsidRPr="005333BD">
      <w:rPr>
        <w:rFonts w:ascii="Times New Roman" w:hAnsi="Times New Roman" w:cs="Times New Roman"/>
      </w:rPr>
      <w:fldChar w:fldCharType="begin"/>
    </w:r>
    <w:r w:rsidRPr="005333BD">
      <w:rPr>
        <w:rFonts w:ascii="Times New Roman" w:hAnsi="Times New Roman" w:cs="Times New Roman"/>
      </w:rPr>
      <w:instrText xml:space="preserve"> PAGE   \* MERGEFORMAT </w:instrText>
    </w:r>
    <w:r w:rsidRPr="005333BD">
      <w:rPr>
        <w:rFonts w:ascii="Times New Roman" w:hAnsi="Times New Roman" w:cs="Times New Roman"/>
      </w:rPr>
      <w:fldChar w:fldCharType="separate"/>
    </w:r>
    <w:r w:rsidR="005333BD">
      <w:rPr>
        <w:rFonts w:ascii="Times New Roman" w:hAnsi="Times New Roman" w:cs="Times New Roman"/>
        <w:noProof/>
      </w:rPr>
      <w:t>1</w:t>
    </w:r>
    <w:r w:rsidRPr="005333BD">
      <w:rPr>
        <w:rFonts w:ascii="Times New Roman" w:hAnsi="Times New Roman" w:cs="Times New Roman"/>
        <w:noProof/>
      </w:rPr>
      <w:fldChar w:fldCharType="end"/>
    </w:r>
  </w:p>
  <w:p w:rsidR="0012141D" w:rsidRDefault="001214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3ED"/>
    <w:rsid w:val="000356D0"/>
    <w:rsid w:val="0012141D"/>
    <w:rsid w:val="002B778D"/>
    <w:rsid w:val="003B3A34"/>
    <w:rsid w:val="0047265E"/>
    <w:rsid w:val="004D744A"/>
    <w:rsid w:val="005333BD"/>
    <w:rsid w:val="005367C4"/>
    <w:rsid w:val="005A5FD8"/>
    <w:rsid w:val="006043ED"/>
    <w:rsid w:val="0087747A"/>
    <w:rsid w:val="009A0DFB"/>
    <w:rsid w:val="009B4C0E"/>
    <w:rsid w:val="009F7439"/>
    <w:rsid w:val="00A01981"/>
    <w:rsid w:val="00A24DF5"/>
    <w:rsid w:val="00A70B32"/>
    <w:rsid w:val="00AA349B"/>
    <w:rsid w:val="00BB181E"/>
    <w:rsid w:val="00BD6AE0"/>
    <w:rsid w:val="00BE7DE1"/>
    <w:rsid w:val="00C57C64"/>
    <w:rsid w:val="00C64A14"/>
    <w:rsid w:val="00DA5649"/>
    <w:rsid w:val="00DF0C85"/>
    <w:rsid w:val="00E76E49"/>
    <w:rsid w:val="00FD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89AB8"/>
  <w15:chartTrackingRefBased/>
  <w15:docId w15:val="{85D42E55-792A-4CA1-99F0-F0C0139D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B778D"/>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41D"/>
  </w:style>
  <w:style w:type="paragraph" w:styleId="Footer">
    <w:name w:val="footer"/>
    <w:basedOn w:val="Normal"/>
    <w:link w:val="FooterChar"/>
    <w:uiPriority w:val="99"/>
    <w:unhideWhenUsed/>
    <w:rsid w:val="00121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41D"/>
  </w:style>
  <w:style w:type="character" w:customStyle="1" w:styleId="Heading1Char">
    <w:name w:val="Heading 1 Char"/>
    <w:basedOn w:val="DefaultParagraphFont"/>
    <w:link w:val="Heading1"/>
    <w:uiPriority w:val="9"/>
    <w:rsid w:val="002B778D"/>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39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2020-10-31T23:30:00Z</dcterms:created>
  <dcterms:modified xsi:type="dcterms:W3CDTF">2020-10-31T23:30:00Z</dcterms:modified>
</cp:coreProperties>
</file>